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03" w:rsidRDefault="008420C6">
      <w:pPr>
        <w:pStyle w:val="Mezititulek"/>
      </w:pPr>
      <w:bookmarkStart w:id="0" w:name="_Toc248743044"/>
      <w:bookmarkStart w:id="1" w:name="_Toc248743679"/>
      <w:bookmarkStart w:id="2" w:name="_Toc252890805"/>
      <w:r>
        <w:t xml:space="preserve">Příloha č. 4 výzev </w:t>
      </w:r>
      <w:r>
        <w:rPr>
          <w:rStyle w:val="docdata"/>
          <w:color w:val="000000"/>
        </w:rPr>
        <w:t>OPST č. 31/32/33/ 2023 – vzdělávání ve firmách</w:t>
      </w:r>
    </w:p>
    <w:p w:rsidR="000B1103" w:rsidRDefault="008420C6" w:rsidP="0053041D">
      <w:pPr>
        <w:spacing w:before="240"/>
        <w:rPr>
          <w:rFonts w:eastAsia="Calibri" w:cs="Segoe UI"/>
          <w:caps/>
          <w:color w:val="3E1F65"/>
          <w:sz w:val="32"/>
          <w:szCs w:val="32"/>
          <w:lang w:eastAsia="en-US"/>
        </w:rPr>
      </w:pPr>
      <w:bookmarkStart w:id="3" w:name="_GoBack"/>
      <w:bookmarkEnd w:id="3"/>
      <w:r>
        <w:rPr>
          <w:rFonts w:eastAsia="Calibri" w:cs="Segoe UI"/>
          <w:caps/>
          <w:color w:val="3E1F65"/>
          <w:sz w:val="32"/>
          <w:szCs w:val="32"/>
          <w:lang w:eastAsia="en-US"/>
        </w:rPr>
        <w:t>prohlášení žadatele k souladu realizace projektu s podmínkami DNSH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0B1103">
        <w:trPr>
          <w:trHeight w:val="460"/>
        </w:trPr>
        <w:tc>
          <w:tcPr>
            <w:tcW w:w="2405" w:type="dxa"/>
            <w:vAlign w:val="center"/>
          </w:tcPr>
          <w:p w:rsidR="000B1103" w:rsidRDefault="008420C6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>Obchodní jméno / Jméno žadatele</w:t>
            </w:r>
          </w:p>
        </w:tc>
        <w:tc>
          <w:tcPr>
            <w:tcW w:w="6655" w:type="dxa"/>
            <w:vAlign w:val="center"/>
          </w:tcPr>
          <w:p w:rsidR="000B1103" w:rsidRDefault="000B1103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0B1103">
        <w:trPr>
          <w:trHeight w:val="460"/>
        </w:trPr>
        <w:tc>
          <w:tcPr>
            <w:tcW w:w="2405" w:type="dxa"/>
            <w:vAlign w:val="center"/>
          </w:tcPr>
          <w:p w:rsidR="000B1103" w:rsidRDefault="008420C6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Sídlo / Adresa žadatele</w:t>
            </w:r>
          </w:p>
        </w:tc>
        <w:tc>
          <w:tcPr>
            <w:tcW w:w="6655" w:type="dxa"/>
            <w:vAlign w:val="center"/>
          </w:tcPr>
          <w:p w:rsidR="000B1103" w:rsidRDefault="000B1103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0B1103">
        <w:trPr>
          <w:trHeight w:val="460"/>
        </w:trPr>
        <w:tc>
          <w:tcPr>
            <w:tcW w:w="2405" w:type="dxa"/>
            <w:vAlign w:val="center"/>
          </w:tcPr>
          <w:p w:rsidR="000B1103" w:rsidRDefault="008420C6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>IČ / Datum narození</w:t>
            </w:r>
          </w:p>
        </w:tc>
        <w:tc>
          <w:tcPr>
            <w:tcW w:w="6655" w:type="dxa"/>
            <w:vAlign w:val="center"/>
          </w:tcPr>
          <w:p w:rsidR="000B1103" w:rsidRDefault="000B1103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0B1103">
        <w:trPr>
          <w:trHeight w:val="460"/>
        </w:trPr>
        <w:tc>
          <w:tcPr>
            <w:tcW w:w="2405" w:type="dxa"/>
            <w:vAlign w:val="center"/>
          </w:tcPr>
          <w:p w:rsidR="000B1103" w:rsidRDefault="008420C6"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Název projektu</w:t>
            </w:r>
          </w:p>
        </w:tc>
        <w:tc>
          <w:tcPr>
            <w:tcW w:w="6655" w:type="dxa"/>
            <w:vAlign w:val="center"/>
          </w:tcPr>
          <w:p w:rsidR="000B1103" w:rsidRDefault="000B1103">
            <w:pPr>
              <w:spacing w:after="0" w:line="240" w:lineRule="auto"/>
              <w:rPr>
                <w:rFonts w:cs="Segoe UI"/>
                <w:b/>
              </w:rPr>
            </w:pPr>
          </w:p>
        </w:tc>
      </w:tr>
    </w:tbl>
    <w:p w:rsidR="000B1103" w:rsidRDefault="008420C6">
      <w:pPr>
        <w:rPr>
          <w:rFonts w:cs="Segoe UI"/>
        </w:rPr>
      </w:pPr>
      <w:r>
        <w:rPr>
          <w:rFonts w:cs="Segoe UI"/>
        </w:rPr>
        <w:t xml:space="preserve"> </w:t>
      </w:r>
    </w:p>
    <w:p w:rsidR="000B1103" w:rsidRDefault="008420C6">
      <w:pPr>
        <w:rPr>
          <w:rFonts w:eastAsiaTheme="minorEastAsia"/>
        </w:rPr>
      </w:pPr>
      <w:r>
        <w:rPr>
          <w:rFonts w:cs="Segoe UI"/>
        </w:rPr>
        <w:t xml:space="preserve">Žadatel prohlašuje, že je obeznámen a bere na vědomí podmínky vycházející z principu významného nepoškozování environmentálních cílů („Do no </w:t>
      </w:r>
      <w:proofErr w:type="spellStart"/>
      <w:r>
        <w:rPr>
          <w:rFonts w:cs="Segoe UI"/>
        </w:rPr>
        <w:t>significant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harm</w:t>
      </w:r>
      <w:proofErr w:type="spellEnd"/>
      <w:r>
        <w:rPr>
          <w:rFonts w:cs="Segoe UI"/>
        </w:rPr>
        <w:t xml:space="preserve">“, DNSH), vycházejícího z článku </w:t>
      </w:r>
      <w:r>
        <w:rPr>
          <w:rFonts w:eastAsiaTheme="minorEastAsia"/>
        </w:rPr>
        <w:t>č. 17 nařízení Evropského parlamentu a Rady (EU) 2020/852 ze dne 1</w:t>
      </w:r>
      <w:r>
        <w:rPr>
          <w:rFonts w:eastAsiaTheme="minorEastAsia"/>
        </w:rPr>
        <w:t>8. června 2020 o zřízení rámce pro usnadnění udržitelných investic a o změně nařízení (EU) 2019/2088.</w:t>
      </w:r>
      <w:r>
        <w:rPr>
          <w:rStyle w:val="Znakapoznpodarou"/>
          <w:rFonts w:eastAsiaTheme="minorEastAsia"/>
        </w:rPr>
        <w:footnoteReference w:id="1"/>
      </w:r>
      <w:r>
        <w:rPr>
          <w:rFonts w:eastAsiaTheme="minorEastAsia"/>
        </w:rPr>
        <w:t xml:space="preserve"> </w:t>
      </w:r>
    </w:p>
    <w:p w:rsidR="000B1103" w:rsidRDefault="008420C6">
      <w:pPr>
        <w:rPr>
          <w:rFonts w:eastAsiaTheme="minorEastAsia"/>
        </w:rPr>
      </w:pPr>
      <w:r>
        <w:rPr>
          <w:rFonts w:eastAsiaTheme="minorEastAsia"/>
        </w:rPr>
        <w:t xml:space="preserve">Žadatel dále prohlašuje, že </w:t>
      </w:r>
      <w:r>
        <w:rPr>
          <w:rFonts w:eastAsiaTheme="minorEastAsia"/>
          <w:b/>
        </w:rPr>
        <w:t>nezařadí mezi způsobilé výdaje</w:t>
      </w:r>
      <w:r>
        <w:rPr>
          <w:rFonts w:eastAsiaTheme="minorEastAsia"/>
        </w:rPr>
        <w:t>:</w:t>
      </w:r>
    </w:p>
    <w:p w:rsidR="000B1103" w:rsidRDefault="008420C6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výdaje do výroby, zpracování, přepravy, distribuce, skladování nebo spalování fosilních pali</w:t>
      </w:r>
      <w:r>
        <w:rPr>
          <w:rFonts w:eastAsiaTheme="minorEastAsia"/>
        </w:rPr>
        <w:t>v včetně investic do materiálního využití fosilních paliv;</w:t>
      </w:r>
    </w:p>
    <w:p w:rsidR="000B1103" w:rsidRDefault="008420C6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náklady na instalaci zařízení využívajících vodu (sprchy, vany, WC atd.), které nesplňují následující podmínky:</w:t>
      </w:r>
    </w:p>
    <w:p w:rsidR="000B1103" w:rsidRDefault="008420C6">
      <w:pPr>
        <w:pStyle w:val="Odstavecseseznamem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sprchy mají maximální průtok vody 8 l/min.;</w:t>
      </w:r>
    </w:p>
    <w:p w:rsidR="000B1103" w:rsidRDefault="008420C6">
      <w:pPr>
        <w:pStyle w:val="Odstavecseseznamem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WC, zahrnující soupravy, mísy a splachovací nádrže, mají úplný objem splachovací vody maximálně 6 l. a maximální průměrný objem splachovací vody 3,5l;</w:t>
      </w:r>
    </w:p>
    <w:p w:rsidR="000B1103" w:rsidRDefault="008420C6">
      <w:pPr>
        <w:pStyle w:val="Odstavecseseznamem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pisoáry spotřebují maximálně 2 l/mísu/hodinu. Splachovací pisoáry mají maximální úplný objem splachovací </w:t>
      </w:r>
      <w:r>
        <w:rPr>
          <w:rFonts w:eastAsiaTheme="minorEastAsia"/>
        </w:rPr>
        <w:t>vody 1 l;</w:t>
      </w:r>
    </w:p>
    <w:p w:rsidR="000B1103" w:rsidRDefault="008420C6">
      <w:pPr>
        <w:pStyle w:val="Odstavecseseznamem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umyvadlové baterie a kuchyňské baterie mají maximální průtok 6 l/min.</w:t>
      </w:r>
    </w:p>
    <w:p w:rsidR="000B1103" w:rsidRDefault="008420C6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náklady na pořízení vozidel, která nesplňují následující podmínky:</w:t>
      </w:r>
    </w:p>
    <w:p w:rsidR="000B1103" w:rsidRDefault="008420C6">
      <w:pPr>
        <w:pStyle w:val="Odstavecseseznamem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podpořený automobil kategorie M1 a N1 musí mít nulové emise CO2/km</w:t>
      </w:r>
      <w:r>
        <w:rPr>
          <w:rFonts w:eastAsiaTheme="minorEastAsia"/>
        </w:rPr>
        <w:t>;</w:t>
      </w:r>
    </w:p>
    <w:p w:rsidR="000B1103" w:rsidRDefault="008420C6">
      <w:pPr>
        <w:pStyle w:val="Odstavecseseznamem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v případě pronájmu (operativní leasing) a</w:t>
      </w:r>
      <w:r>
        <w:rPr>
          <w:rFonts w:eastAsiaTheme="minorEastAsia"/>
        </w:rPr>
        <w:t>utomobil kategorie M1 a N1 musí mít emise nižší než 50 g CO2/km, od 1. 1. 2026 musí být emise nulové</w:t>
      </w:r>
      <w:r>
        <w:rPr>
          <w:rFonts w:eastAsiaTheme="minorEastAsia"/>
        </w:rPr>
        <w:t>;</w:t>
      </w:r>
    </w:p>
    <w:p w:rsidR="000B1103" w:rsidRDefault="008420C6">
      <w:pPr>
        <w:pStyle w:val="Odstavecseseznamem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>u vozidel kategorií N2 a N3 spadajících do oblasti působnosti nařízení (EU) 2019/1242 dosahují specifické přímé emise CO2 nejvýše referenčních emisí CO2 p</w:t>
      </w:r>
      <w:r>
        <w:rPr>
          <w:rFonts w:eastAsiaTheme="minorEastAsia"/>
        </w:rPr>
        <w:t>ro všechna vozidla v dané podskupině, jak stanoví článek 3 uvedeného nařízení</w:t>
      </w:r>
      <w:r>
        <w:rPr>
          <w:rFonts w:eastAsiaTheme="minorEastAsia"/>
        </w:rPr>
        <w:t>;</w:t>
      </w:r>
    </w:p>
    <w:p w:rsidR="000B1103" w:rsidRDefault="008420C6">
      <w:pPr>
        <w:pStyle w:val="Odstavecseseznamem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v případě vozidel pro zvláštní účely, pokud výše uvedená pravidla neplatí, bude podporována nejlepší dostupná technologie v dané kategorii vozidel.</w:t>
      </w:r>
    </w:p>
    <w:p w:rsidR="000B1103" w:rsidRDefault="008420C6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náklady na zařízení bateriové</w:t>
      </w:r>
      <w:r>
        <w:rPr>
          <w:rFonts w:eastAsiaTheme="minorEastAsia"/>
        </w:rPr>
        <w:t xml:space="preserve"> akumulace pro obnovitelné zdroje energie, které jsou na bázi olova, </w:t>
      </w:r>
      <w:proofErr w:type="spellStart"/>
      <w:r>
        <w:rPr>
          <w:rFonts w:eastAsiaTheme="minorEastAsia"/>
        </w:rPr>
        <w:t>NiCd</w:t>
      </w:r>
      <w:proofErr w:type="spellEnd"/>
      <w:r>
        <w:rPr>
          <w:rFonts w:eastAsiaTheme="minorEastAsia"/>
        </w:rPr>
        <w:t xml:space="preserve"> a </w:t>
      </w:r>
      <w:proofErr w:type="spellStart"/>
      <w:r>
        <w:rPr>
          <w:rFonts w:eastAsiaTheme="minorEastAsia"/>
        </w:rPr>
        <w:t>NiMH</w:t>
      </w:r>
      <w:proofErr w:type="spellEnd"/>
      <w:r>
        <w:rPr>
          <w:rFonts w:eastAsiaTheme="minorEastAsia"/>
        </w:rPr>
        <w:t>;</w:t>
      </w:r>
    </w:p>
    <w:p w:rsidR="000B1103" w:rsidRDefault="008420C6">
      <w:pPr>
        <w:pStyle w:val="Odstavecseseznamem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náklady na pořízení kotlů na biomasu, které nesplňují následující podmínky:</w:t>
      </w:r>
    </w:p>
    <w:p w:rsidR="000B1103" w:rsidRDefault="008420C6">
      <w:pPr>
        <w:pStyle w:val="Odstavecseseznamem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jsou v souladu s kritérii udržitelnosti a úspor emisí skleníkových plynů </w:t>
      </w:r>
      <w:r>
        <w:rPr>
          <w:rFonts w:eastAsiaTheme="minorEastAsia"/>
        </w:rPr>
        <w:t>stanovenými v článku 29 směrnice (EU) 2018/2001 o podpoře využívání energie z obnovitelných zdrojů („směrnice o obnovitelných zdrojích energie“, „RED II“). Tyto požadavky se budou vztahovat na všechna zařízení bez ohledu na prahové hodnoty uvedené ve směrn</w:t>
      </w:r>
      <w:r>
        <w:rPr>
          <w:rFonts w:eastAsiaTheme="minorEastAsia"/>
        </w:rPr>
        <w:t>ici RED II.;</w:t>
      </w:r>
    </w:p>
    <w:p w:rsidR="000B1103" w:rsidRDefault="008420C6">
      <w:pPr>
        <w:pStyle w:val="Odstavecseseznamem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jsou v souladu s posouzením trajektorií udržitelného využívání bioenergie a dodávek biomasy v Česku a jeho dopadů na využití půdy, změny ve využití půdy, lesní propady uhlíku a biologickou rozmanitost, jakož i vlivu na kvalitu ovzduší;</w:t>
      </w:r>
    </w:p>
    <w:p w:rsidR="000B1103" w:rsidRDefault="008420C6">
      <w:pPr>
        <w:pStyle w:val="Odstavecseseznamem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>plní al</w:t>
      </w:r>
      <w:r>
        <w:rPr>
          <w:rFonts w:eastAsiaTheme="minorEastAsia"/>
        </w:rPr>
        <w:t>espoň 80 % úspor emisí skleníkových plynů, která je obecně splněna s ohledem na typ palivového přechodu na biomasu.</w:t>
      </w:r>
    </w:p>
    <w:p w:rsidR="000B1103" w:rsidRDefault="000B1103">
      <w:pPr>
        <w:rPr>
          <w:rFonts w:cs="Segoe UI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0B110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103" w:rsidRDefault="008420C6"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103" w:rsidRDefault="000B1103">
            <w:pPr>
              <w:spacing w:after="0" w:line="240" w:lineRule="auto"/>
              <w:rPr>
                <w:rFonts w:cs="Segoe UI"/>
              </w:rPr>
            </w:pPr>
          </w:p>
        </w:tc>
      </w:tr>
      <w:tr w:rsidR="000B1103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0B1103" w:rsidRDefault="000B1103">
            <w:pPr>
              <w:spacing w:after="0" w:line="240" w:lineRule="auto"/>
              <w:rPr>
                <w:rFonts w:cs="Segoe UI"/>
              </w:rPr>
            </w:pPr>
          </w:p>
        </w:tc>
      </w:tr>
      <w:tr w:rsidR="000B1103">
        <w:trPr>
          <w:trHeight w:val="143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103" w:rsidRDefault="008420C6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3" w:rsidRDefault="000B1103">
            <w:pPr>
              <w:spacing w:after="0" w:line="240" w:lineRule="auto"/>
              <w:rPr>
                <w:rFonts w:cs="Segoe UI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0B1103" w:rsidRDefault="000B1103">
            <w:pPr>
              <w:spacing w:after="0" w:line="240" w:lineRule="auto"/>
              <w:rPr>
                <w:rFonts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03" w:rsidRDefault="008420C6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>Razítko</w:t>
            </w:r>
            <w:r>
              <w:rPr>
                <w:rFonts w:cs="Segoe UI"/>
              </w:rPr>
              <w:t xml:space="preserve"> </w:t>
            </w:r>
          </w:p>
          <w:p w:rsidR="000B1103" w:rsidRDefault="008420C6">
            <w:pPr>
              <w:spacing w:after="0" w:line="240" w:lineRule="auto"/>
              <w:jc w:val="left"/>
              <w:rPr>
                <w:rFonts w:cs="Segoe UI"/>
                <w:b/>
                <w:bCs/>
                <w:i/>
                <w:iCs/>
              </w:rPr>
            </w:pPr>
            <w:r>
              <w:rPr>
                <w:rFonts w:cs="Segoe UI"/>
                <w:i/>
                <w:iCs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103" w:rsidRDefault="008420C6">
            <w:pPr>
              <w:spacing w:after="0" w:line="240" w:lineRule="auto"/>
              <w:ind w:firstLine="200"/>
              <w:rPr>
                <w:rFonts w:cs="Segoe UI"/>
              </w:rPr>
            </w:pPr>
            <w:r>
              <w:rPr>
                <w:rFonts w:cs="Segoe UI"/>
              </w:rPr>
              <w:t> </w:t>
            </w:r>
          </w:p>
        </w:tc>
      </w:tr>
    </w:tbl>
    <w:p w:rsidR="000B1103" w:rsidRDefault="000B1103">
      <w:pPr>
        <w:rPr>
          <w:rFonts w:cs="Segoe UI"/>
        </w:rPr>
      </w:pPr>
    </w:p>
    <w:p w:rsidR="000B1103" w:rsidRDefault="000B1103"/>
    <w:sectPr w:rsidR="000B11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701" w:left="1418" w:header="567" w:footer="4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0C6" w:rsidRDefault="008420C6">
      <w:pPr>
        <w:spacing w:after="0" w:line="240" w:lineRule="auto"/>
      </w:pPr>
      <w:r>
        <w:separator/>
      </w:r>
    </w:p>
  </w:endnote>
  <w:endnote w:type="continuationSeparator" w:id="0">
    <w:p w:rsidR="008420C6" w:rsidRDefault="0084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03" w:rsidRDefault="008420C6">
    <w:pPr>
      <w:pStyle w:val="Zpat"/>
      <w:rPr>
        <w:szCs w:val="16"/>
      </w:rPr>
    </w:pPr>
    <w:r>
      <w:rPr>
        <w:noProof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B1103" w:rsidRDefault="008420C6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1" style="position:absolute;mso-wrap-distance-left:9.0pt;mso-wrap-distance-top:0.0pt;mso-wrap-distance-right:9.0pt;mso-wrap-distance-bottom:0.0pt;z-index:251659264;o:allowoverlap:true;o:allowincell:true;mso-position-horizontal-relative:text;margin-left:451.0pt;mso-position-horizontal:absolute;mso-position-vertical-relative:page;margin-top:790.9pt;mso-position-vertical:absolute;width:72.8pt;height:17.7pt;v-text-anchor:top;" coordsize="100000,100000" path="" filled="f" stroked="f">
              <v:path textboxrect="0,0,0,0"/>
              <v:textbox>
                <w:txbxContent>
                  <w:p>
                    <w:pPr>
                      <w:jc w:val="center"/>
                    </w:pPr>
                    <w:r>
                      <w:rPr>
                        <w:rStyle w:val="950"/>
                        <w:sz w:val="16"/>
                      </w:rPr>
                      <w:fldChar w:fldCharType="begin"/>
                    </w:r>
                    <w:r>
                      <w:rPr>
                        <w:rStyle w:val="950"/>
                        <w:sz w:val="16"/>
                      </w:rPr>
                      <w:instrText xml:space="preserve"> PAGE </w:instrText>
                    </w:r>
                    <w:r>
                      <w:rPr>
                        <w:rStyle w:val="950"/>
                        <w:sz w:val="16"/>
                      </w:rPr>
                      <w:fldChar w:fldCharType="separate"/>
                    </w:r>
                    <w:r>
                      <w:rPr>
                        <w:rStyle w:val="950"/>
                        <w:sz w:val="16"/>
                      </w:rPr>
                      <w:t xml:space="preserve">1</w:t>
                    </w:r>
                    <w:r>
                      <w:rPr>
                        <w:rStyle w:val="950"/>
                        <w:sz w:val="16"/>
                      </w:rPr>
                      <w:fldChar w:fldCharType="end"/>
                    </w:r>
                    <w:r>
                      <w:rPr>
                        <w:rStyle w:val="950"/>
                        <w:sz w:val="16"/>
                      </w:rPr>
                      <w:t xml:space="preserve">/</w:t>
                    </w:r>
                    <w:r>
                      <w:rPr>
                        <w:rStyle w:val="950"/>
                        <w:sz w:val="16"/>
                      </w:rPr>
                      <w:fldChar w:fldCharType="begin"/>
                    </w:r>
                    <w:r>
                      <w:rPr>
                        <w:rStyle w:val="950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950"/>
                        <w:sz w:val="16"/>
                      </w:rPr>
                      <w:fldChar w:fldCharType="separate"/>
                    </w:r>
                    <w:r>
                      <w:rPr>
                        <w:rStyle w:val="950"/>
                        <w:sz w:val="16"/>
                      </w:rPr>
                      <w:t xml:space="preserve">4</w:t>
                    </w:r>
                    <w:r>
                      <w:rPr>
                        <w:rStyle w:val="950"/>
                        <w:sz w:val="16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  <w:p w:rsidR="000B1103" w:rsidRDefault="008420C6">
    <w:pPr>
      <w:pStyle w:val="Zpat"/>
      <w:spacing w:before="240" w:after="0"/>
      <w:rPr>
        <w:szCs w:val="16"/>
      </w:rPr>
    </w:pPr>
    <w:r>
      <w:rPr>
        <w:b/>
        <w:szCs w:val="16"/>
      </w:rPr>
      <w:t>Státní fond životního prostředí ČR</w:t>
    </w:r>
    <w:r>
      <w:rPr>
        <w:szCs w:val="16"/>
      </w:rPr>
      <w:t>, sídlo: Kaplanova 1931/1, 148 00 Praha 11</w:t>
    </w:r>
  </w:p>
  <w:p w:rsidR="000B1103" w:rsidRDefault="008420C6">
    <w:pPr>
      <w:pStyle w:val="Zpat"/>
      <w:spacing w:after="0"/>
      <w:rPr>
        <w:szCs w:val="16"/>
      </w:rPr>
    </w:pPr>
    <w:r>
      <w:rPr>
        <w:szCs w:val="16"/>
      </w:rPr>
      <w:t xml:space="preserve">korespondenční a kontaktní adresa: Olbrachtova 2006/9, 140 </w:t>
    </w:r>
    <w:proofErr w:type="gramStart"/>
    <w:r>
      <w:rPr>
        <w:szCs w:val="16"/>
      </w:rPr>
      <w:t>00  Praha</w:t>
    </w:r>
    <w:proofErr w:type="gramEnd"/>
    <w:r>
      <w:rPr>
        <w:szCs w:val="16"/>
      </w:rPr>
      <w:t xml:space="preserve"> 4, T: +420 267 994 300; IČ: 00020729</w:t>
    </w:r>
  </w:p>
  <w:p w:rsidR="000B1103" w:rsidRDefault="008420C6">
    <w:pPr>
      <w:pStyle w:val="Zpat"/>
      <w:rPr>
        <w:szCs w:val="16"/>
      </w:rPr>
    </w:pPr>
    <w:r>
      <w:rPr>
        <w:b/>
        <w:szCs w:val="16"/>
      </w:rPr>
      <w:t>www.opst.cz, e-mail: spravedliva.transformace@sfzp.cz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03" w:rsidRDefault="008420C6">
    <w:pPr>
      <w:pStyle w:val="Zpat"/>
      <w:rPr>
        <w:color w:val="3E1F65"/>
        <w:sz w:val="28"/>
        <w:szCs w:val="28"/>
      </w:rPr>
    </w:pPr>
    <w:r>
      <w:rPr>
        <w:color w:val="3E1F65"/>
        <w:sz w:val="28"/>
        <w:szCs w:val="28"/>
      </w:rPr>
      <w:t xml:space="preserve">www.opst.cz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0C6" w:rsidRDefault="008420C6">
      <w:pPr>
        <w:spacing w:after="0" w:line="240" w:lineRule="auto"/>
      </w:pPr>
      <w:r>
        <w:separator/>
      </w:r>
    </w:p>
  </w:footnote>
  <w:footnote w:type="continuationSeparator" w:id="0">
    <w:p w:rsidR="008420C6" w:rsidRDefault="008420C6">
      <w:pPr>
        <w:spacing w:after="0" w:line="240" w:lineRule="auto"/>
      </w:pPr>
      <w:r>
        <w:continuationSeparator/>
      </w:r>
    </w:p>
  </w:footnote>
  <w:footnote w:id="1">
    <w:p w:rsidR="000B1103" w:rsidRDefault="008420C6">
      <w:pPr>
        <w:rPr>
          <w:rFonts w:cs="Segoe UI"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Segoe UI"/>
          <w:sz w:val="16"/>
          <w:szCs w:val="16"/>
        </w:rPr>
        <w:t xml:space="preserve">Splnění zde uvedených podmínek může být předmětem kontroly na místě. V případě, že v rámci kontroly </w:t>
      </w:r>
      <w:proofErr w:type="spellStart"/>
      <w:r>
        <w:rPr>
          <w:rFonts w:cs="Segoe UI"/>
          <w:sz w:val="16"/>
          <w:szCs w:val="16"/>
        </w:rPr>
        <w:t>ŽoP</w:t>
      </w:r>
      <w:proofErr w:type="spellEnd"/>
      <w:r>
        <w:rPr>
          <w:rFonts w:cs="Segoe UI"/>
          <w:sz w:val="16"/>
          <w:szCs w:val="16"/>
        </w:rPr>
        <w:t xml:space="preserve"> bude schválen výdaj, který je v rozporu s principem DNSH, neznamená to, že při následném zjištění porušení pravidel DNSH pozbyde toto prohlášení platnosti, jakož i všechny důsledky, které z jeho porušení vyplývají. </w:t>
      </w:r>
    </w:p>
    <w:p w:rsidR="000B1103" w:rsidRDefault="000B110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03" w:rsidRDefault="008420C6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1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03" w:rsidRDefault="008420C6">
    <w:pPr>
      <w:pStyle w:val="Zhlav"/>
    </w:pPr>
    <w:r>
      <w:rPr>
        <w:noProof/>
      </w:rPr>
      <mc:AlternateContent>
        <mc:Choice Requires="wpg">
          <w:drawing>
            <wp:inline distT="0" distB="0" distL="0" distR="0">
              <wp:extent cx="5719445" cy="415856"/>
              <wp:effectExtent l="0" t="0" r="0" b="3810"/>
              <wp:docPr id="2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E26"/>
    <w:multiLevelType w:val="hybridMultilevel"/>
    <w:tmpl w:val="96D00F14"/>
    <w:lvl w:ilvl="0" w:tplc="C840D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1A3F14">
      <w:start w:val="1"/>
      <w:numFmt w:val="lowerLetter"/>
      <w:lvlText w:val="%2."/>
      <w:lvlJc w:val="left"/>
      <w:pPr>
        <w:ind w:left="1440" w:hanging="360"/>
      </w:pPr>
    </w:lvl>
    <w:lvl w:ilvl="2" w:tplc="487C3D5E">
      <w:start w:val="1"/>
      <w:numFmt w:val="lowerRoman"/>
      <w:lvlText w:val="%3."/>
      <w:lvlJc w:val="right"/>
      <w:pPr>
        <w:ind w:left="2160" w:hanging="180"/>
      </w:pPr>
    </w:lvl>
    <w:lvl w:ilvl="3" w:tplc="9E8618A4">
      <w:start w:val="1"/>
      <w:numFmt w:val="decimal"/>
      <w:lvlText w:val="%4."/>
      <w:lvlJc w:val="left"/>
      <w:pPr>
        <w:ind w:left="2880" w:hanging="360"/>
      </w:pPr>
    </w:lvl>
    <w:lvl w:ilvl="4" w:tplc="AF2E2738">
      <w:start w:val="1"/>
      <w:numFmt w:val="lowerLetter"/>
      <w:lvlText w:val="%5."/>
      <w:lvlJc w:val="left"/>
      <w:pPr>
        <w:ind w:left="3600" w:hanging="360"/>
      </w:pPr>
    </w:lvl>
    <w:lvl w:ilvl="5" w:tplc="D3A2934C">
      <w:start w:val="1"/>
      <w:numFmt w:val="lowerRoman"/>
      <w:lvlText w:val="%6."/>
      <w:lvlJc w:val="right"/>
      <w:pPr>
        <w:ind w:left="4320" w:hanging="180"/>
      </w:pPr>
    </w:lvl>
    <w:lvl w:ilvl="6" w:tplc="49A24BC4">
      <w:start w:val="1"/>
      <w:numFmt w:val="decimal"/>
      <w:lvlText w:val="%7."/>
      <w:lvlJc w:val="left"/>
      <w:pPr>
        <w:ind w:left="5040" w:hanging="360"/>
      </w:pPr>
    </w:lvl>
    <w:lvl w:ilvl="7" w:tplc="FB9637D8">
      <w:start w:val="1"/>
      <w:numFmt w:val="lowerLetter"/>
      <w:lvlText w:val="%8."/>
      <w:lvlJc w:val="left"/>
      <w:pPr>
        <w:ind w:left="5760" w:hanging="360"/>
      </w:pPr>
    </w:lvl>
    <w:lvl w:ilvl="8" w:tplc="E1E481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1045"/>
    <w:multiLevelType w:val="hybridMultilevel"/>
    <w:tmpl w:val="D1567FF6"/>
    <w:lvl w:ilvl="0" w:tplc="723E3D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9C55F0">
      <w:start w:val="1"/>
      <w:numFmt w:val="lowerLetter"/>
      <w:lvlText w:val="%2."/>
      <w:lvlJc w:val="left"/>
      <w:pPr>
        <w:ind w:left="1440" w:hanging="360"/>
      </w:pPr>
    </w:lvl>
    <w:lvl w:ilvl="2" w:tplc="69C654EC">
      <w:start w:val="1"/>
      <w:numFmt w:val="lowerRoman"/>
      <w:lvlText w:val="%3."/>
      <w:lvlJc w:val="right"/>
      <w:pPr>
        <w:ind w:left="2160" w:hanging="180"/>
      </w:pPr>
    </w:lvl>
    <w:lvl w:ilvl="3" w:tplc="3AC8561E">
      <w:start w:val="1"/>
      <w:numFmt w:val="decimal"/>
      <w:lvlText w:val="%4."/>
      <w:lvlJc w:val="left"/>
      <w:pPr>
        <w:ind w:left="2880" w:hanging="360"/>
      </w:pPr>
    </w:lvl>
    <w:lvl w:ilvl="4" w:tplc="19C4BD10">
      <w:start w:val="1"/>
      <w:numFmt w:val="lowerLetter"/>
      <w:lvlText w:val="%5."/>
      <w:lvlJc w:val="left"/>
      <w:pPr>
        <w:ind w:left="3600" w:hanging="360"/>
      </w:pPr>
    </w:lvl>
    <w:lvl w:ilvl="5" w:tplc="A8CC39C8">
      <w:start w:val="1"/>
      <w:numFmt w:val="lowerRoman"/>
      <w:lvlText w:val="%6."/>
      <w:lvlJc w:val="right"/>
      <w:pPr>
        <w:ind w:left="4320" w:hanging="180"/>
      </w:pPr>
    </w:lvl>
    <w:lvl w:ilvl="6" w:tplc="14B027B4">
      <w:start w:val="1"/>
      <w:numFmt w:val="decimal"/>
      <w:lvlText w:val="%7."/>
      <w:lvlJc w:val="left"/>
      <w:pPr>
        <w:ind w:left="5040" w:hanging="360"/>
      </w:pPr>
    </w:lvl>
    <w:lvl w:ilvl="7" w:tplc="A3E8A1EA">
      <w:start w:val="1"/>
      <w:numFmt w:val="lowerLetter"/>
      <w:lvlText w:val="%8."/>
      <w:lvlJc w:val="left"/>
      <w:pPr>
        <w:ind w:left="5760" w:hanging="360"/>
      </w:pPr>
    </w:lvl>
    <w:lvl w:ilvl="8" w:tplc="F63AC1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0F87"/>
    <w:multiLevelType w:val="hybridMultilevel"/>
    <w:tmpl w:val="B05C2976"/>
    <w:lvl w:ilvl="0" w:tplc="F184F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064F50">
      <w:start w:val="1"/>
      <w:numFmt w:val="lowerLetter"/>
      <w:lvlText w:val="%2."/>
      <w:lvlJc w:val="left"/>
      <w:pPr>
        <w:ind w:left="1440" w:hanging="360"/>
      </w:pPr>
    </w:lvl>
    <w:lvl w:ilvl="2" w:tplc="3F74BCD6">
      <w:start w:val="1"/>
      <w:numFmt w:val="lowerRoman"/>
      <w:lvlText w:val="%3."/>
      <w:lvlJc w:val="right"/>
      <w:pPr>
        <w:ind w:left="2160" w:hanging="180"/>
      </w:pPr>
    </w:lvl>
    <w:lvl w:ilvl="3" w:tplc="F2B80AEE">
      <w:start w:val="1"/>
      <w:numFmt w:val="decimal"/>
      <w:lvlText w:val="%4."/>
      <w:lvlJc w:val="left"/>
      <w:pPr>
        <w:ind w:left="2880" w:hanging="360"/>
      </w:pPr>
    </w:lvl>
    <w:lvl w:ilvl="4" w:tplc="A0FAFE5A">
      <w:start w:val="1"/>
      <w:numFmt w:val="lowerLetter"/>
      <w:lvlText w:val="%5."/>
      <w:lvlJc w:val="left"/>
      <w:pPr>
        <w:ind w:left="3600" w:hanging="360"/>
      </w:pPr>
    </w:lvl>
    <w:lvl w:ilvl="5" w:tplc="54F0EE18">
      <w:start w:val="1"/>
      <w:numFmt w:val="lowerRoman"/>
      <w:lvlText w:val="%6."/>
      <w:lvlJc w:val="right"/>
      <w:pPr>
        <w:ind w:left="4320" w:hanging="180"/>
      </w:pPr>
    </w:lvl>
    <w:lvl w:ilvl="6" w:tplc="C00E8F3A">
      <w:start w:val="1"/>
      <w:numFmt w:val="decimal"/>
      <w:lvlText w:val="%7."/>
      <w:lvlJc w:val="left"/>
      <w:pPr>
        <w:ind w:left="5040" w:hanging="360"/>
      </w:pPr>
    </w:lvl>
    <w:lvl w:ilvl="7" w:tplc="144641D6">
      <w:start w:val="1"/>
      <w:numFmt w:val="lowerLetter"/>
      <w:lvlText w:val="%8."/>
      <w:lvlJc w:val="left"/>
      <w:pPr>
        <w:ind w:left="5760" w:hanging="360"/>
      </w:pPr>
    </w:lvl>
    <w:lvl w:ilvl="8" w:tplc="FEDAB4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422AE"/>
    <w:multiLevelType w:val="hybridMultilevel"/>
    <w:tmpl w:val="334A0AB6"/>
    <w:lvl w:ilvl="0" w:tplc="40F09C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C69B6C">
      <w:start w:val="1"/>
      <w:numFmt w:val="lowerLetter"/>
      <w:lvlText w:val="%2."/>
      <w:lvlJc w:val="left"/>
      <w:pPr>
        <w:ind w:left="1440" w:hanging="360"/>
      </w:pPr>
    </w:lvl>
    <w:lvl w:ilvl="2" w:tplc="1B888C9A">
      <w:start w:val="1"/>
      <w:numFmt w:val="lowerRoman"/>
      <w:lvlText w:val="%3."/>
      <w:lvlJc w:val="right"/>
      <w:pPr>
        <w:ind w:left="2160" w:hanging="180"/>
      </w:pPr>
    </w:lvl>
    <w:lvl w:ilvl="3" w:tplc="792E7C54">
      <w:start w:val="1"/>
      <w:numFmt w:val="decimal"/>
      <w:lvlText w:val="%4."/>
      <w:lvlJc w:val="left"/>
      <w:pPr>
        <w:ind w:left="2880" w:hanging="360"/>
      </w:pPr>
    </w:lvl>
    <w:lvl w:ilvl="4" w:tplc="0712B638">
      <w:start w:val="1"/>
      <w:numFmt w:val="lowerLetter"/>
      <w:lvlText w:val="%5."/>
      <w:lvlJc w:val="left"/>
      <w:pPr>
        <w:ind w:left="3600" w:hanging="360"/>
      </w:pPr>
    </w:lvl>
    <w:lvl w:ilvl="5" w:tplc="F96AF4BA">
      <w:start w:val="1"/>
      <w:numFmt w:val="lowerRoman"/>
      <w:lvlText w:val="%6."/>
      <w:lvlJc w:val="right"/>
      <w:pPr>
        <w:ind w:left="4320" w:hanging="180"/>
      </w:pPr>
    </w:lvl>
    <w:lvl w:ilvl="6" w:tplc="13203A4C">
      <w:start w:val="1"/>
      <w:numFmt w:val="decimal"/>
      <w:lvlText w:val="%7."/>
      <w:lvlJc w:val="left"/>
      <w:pPr>
        <w:ind w:left="5040" w:hanging="360"/>
      </w:pPr>
    </w:lvl>
    <w:lvl w:ilvl="7" w:tplc="028AA17E">
      <w:start w:val="1"/>
      <w:numFmt w:val="lowerLetter"/>
      <w:lvlText w:val="%8."/>
      <w:lvlJc w:val="left"/>
      <w:pPr>
        <w:ind w:left="5760" w:hanging="360"/>
      </w:pPr>
    </w:lvl>
    <w:lvl w:ilvl="8" w:tplc="DDF234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36EF1"/>
    <w:multiLevelType w:val="hybridMultilevel"/>
    <w:tmpl w:val="A8EA98D2"/>
    <w:lvl w:ilvl="0" w:tplc="39942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288CF70">
      <w:start w:val="1"/>
      <w:numFmt w:val="lowerLetter"/>
      <w:lvlText w:val="%2."/>
      <w:lvlJc w:val="left"/>
      <w:pPr>
        <w:ind w:left="1440" w:hanging="360"/>
      </w:pPr>
    </w:lvl>
    <w:lvl w:ilvl="2" w:tplc="92820CB2">
      <w:start w:val="1"/>
      <w:numFmt w:val="lowerRoman"/>
      <w:lvlText w:val="%3."/>
      <w:lvlJc w:val="right"/>
      <w:pPr>
        <w:ind w:left="2160" w:hanging="180"/>
      </w:pPr>
    </w:lvl>
    <w:lvl w:ilvl="3" w:tplc="587E730E">
      <w:start w:val="1"/>
      <w:numFmt w:val="decimal"/>
      <w:lvlText w:val="%4."/>
      <w:lvlJc w:val="left"/>
      <w:pPr>
        <w:ind w:left="2880" w:hanging="360"/>
      </w:pPr>
    </w:lvl>
    <w:lvl w:ilvl="4" w:tplc="53E0387A">
      <w:start w:val="1"/>
      <w:numFmt w:val="lowerLetter"/>
      <w:lvlText w:val="%5."/>
      <w:lvlJc w:val="left"/>
      <w:pPr>
        <w:ind w:left="3600" w:hanging="360"/>
      </w:pPr>
    </w:lvl>
    <w:lvl w:ilvl="5" w:tplc="F25A04E4">
      <w:start w:val="1"/>
      <w:numFmt w:val="lowerRoman"/>
      <w:lvlText w:val="%6."/>
      <w:lvlJc w:val="right"/>
      <w:pPr>
        <w:ind w:left="4320" w:hanging="180"/>
      </w:pPr>
    </w:lvl>
    <w:lvl w:ilvl="6" w:tplc="F8708266">
      <w:start w:val="1"/>
      <w:numFmt w:val="decimal"/>
      <w:lvlText w:val="%7."/>
      <w:lvlJc w:val="left"/>
      <w:pPr>
        <w:ind w:left="5040" w:hanging="360"/>
      </w:pPr>
    </w:lvl>
    <w:lvl w:ilvl="7" w:tplc="F6049512">
      <w:start w:val="1"/>
      <w:numFmt w:val="lowerLetter"/>
      <w:lvlText w:val="%8."/>
      <w:lvlJc w:val="left"/>
      <w:pPr>
        <w:ind w:left="5760" w:hanging="360"/>
      </w:pPr>
    </w:lvl>
    <w:lvl w:ilvl="8" w:tplc="6BE246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03"/>
    <w:rsid w:val="000B1103"/>
    <w:rsid w:val="0053041D"/>
    <w:rsid w:val="008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BFE1"/>
  <w15:docId w15:val="{65A7355E-69C4-4C68-92C5-4BD167EA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20" w:line="264" w:lineRule="auto"/>
      <w:jc w:val="both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Pr>
      <w:rFonts w:ascii="Segoe UI" w:eastAsia="Times New Roman" w:hAnsi="Segoe U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Segoe UI" w:eastAsia="Times New Roman" w:hAnsi="Segoe UI" w:cs="Times New Roman"/>
      <w:sz w:val="16"/>
      <w:szCs w:val="20"/>
      <w:lang w:eastAsia="cs-CZ"/>
    </w:r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pPr>
      <w:spacing w:line="240" w:lineRule="auto"/>
      <w:jc w:val="lef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Segoe UI" w:eastAsia="Times New Roman" w:hAnsi="Segoe UI" w:cs="Times New Roman"/>
      <w:sz w:val="16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08"/>
    </w:pPr>
  </w:style>
  <w:style w:type="paragraph" w:customStyle="1" w:styleId="Mezititulek">
    <w:name w:val="Mezititulek"/>
    <w:basedOn w:val="Normln"/>
    <w:link w:val="MezititulekChar"/>
    <w:qFormat/>
    <w:pPr>
      <w:keepNext/>
      <w:spacing w:before="240"/>
    </w:pPr>
    <w:rPr>
      <w:rFonts w:eastAsia="Calibri" w:cs="Segoe UI"/>
      <w:b/>
      <w:lang w:eastAsia="en-US"/>
    </w:rPr>
  </w:style>
  <w:style w:type="character" w:customStyle="1" w:styleId="MezititulekChar">
    <w:name w:val="Mezititulek Char"/>
    <w:link w:val="Mezititulek"/>
    <w:rPr>
      <w:rFonts w:ascii="Segoe UI" w:eastAsia="Calibri" w:hAnsi="Segoe UI" w:cs="Segoe UI"/>
      <w:b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rPr>
      <w:rFonts w:ascii="Segoe UI" w:eastAsia="Times New Roman" w:hAnsi="Segoe UI" w:cs="Times New Roman"/>
      <w:sz w:val="20"/>
      <w:szCs w:val="20"/>
      <w:lang w:eastAsia="cs-CZ"/>
    </w:rPr>
  </w:style>
  <w:style w:type="character" w:customStyle="1" w:styleId="docdata">
    <w:name w:val="docdata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Houdková Pavla</dc:creator>
  <cp:keywords/>
  <dc:description/>
  <cp:lastModifiedBy>Šebestíková Šárka</cp:lastModifiedBy>
  <cp:revision>6</cp:revision>
  <dcterms:created xsi:type="dcterms:W3CDTF">2023-08-31T09:13:00Z</dcterms:created>
  <dcterms:modified xsi:type="dcterms:W3CDTF">2023-09-13T07:59:00Z</dcterms:modified>
</cp:coreProperties>
</file>